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2737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Romsilva-Administrația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B8790C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Magazie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273705" w:rsidRDefault="00273705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B8790C" w:rsidRPr="00B8790C" w:rsidRDefault="00B8790C" w:rsidP="00B8790C">
            <w:pPr>
              <w:jc w:val="center"/>
              <w:rPr>
                <w:b/>
                <w:bCs/>
              </w:rPr>
            </w:pPr>
            <w:r w:rsidRPr="00B8790C">
              <w:rPr>
                <w:b/>
                <w:bCs/>
              </w:rPr>
              <w:t>Introducerea/scoaterea în/din magazie a obiectelor/materialelor</w:t>
            </w:r>
          </w:p>
          <w:p w:rsidR="00F66B6B" w:rsidRPr="00084ADA" w:rsidRDefault="004248B1" w:rsidP="005F4AE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Parcului Natural Porțile de Fier</w:t>
            </w:r>
          </w:p>
        </w:tc>
        <w:tc>
          <w:tcPr>
            <w:tcW w:w="1524" w:type="dxa"/>
          </w:tcPr>
          <w:p w:rsidR="00F66B6B" w:rsidRPr="00880B53" w:rsidRDefault="00C94200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01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B8790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____/____/ 2015</w:t>
            </w:r>
          </w:p>
        </w:tc>
      </w:tr>
    </w:tbl>
    <w:p w:rsidR="00A62819" w:rsidRDefault="00A62819" w:rsidP="00446DD8">
      <w:pPr>
        <w:jc w:val="both"/>
      </w:pPr>
    </w:p>
    <w:p w:rsidR="00753693" w:rsidRDefault="008C0136" w:rsidP="00446D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 w:rsidRPr="006D0780">
        <w:rPr>
          <w:rFonts w:ascii="Times New Roman" w:hAnsi="Times New Roman" w:cs="Times New Roman"/>
          <w:sz w:val="24"/>
          <w:szCs w:val="24"/>
        </w:rPr>
        <w:t>:</w:t>
      </w:r>
      <w:r w:rsidR="00753693" w:rsidRPr="006D0780">
        <w:rPr>
          <w:rFonts w:ascii="Times New Roman" w:hAnsi="Times New Roman" w:cs="Times New Roman"/>
          <w:sz w:val="24"/>
          <w:szCs w:val="24"/>
        </w:rPr>
        <w:t xml:space="preserve"> </w:t>
      </w:r>
      <w:r w:rsidR="00516BE8">
        <w:rPr>
          <w:rFonts w:ascii="Times New Roman" w:hAnsi="Times New Roman" w:cs="Times New Roman"/>
        </w:rPr>
        <w:t>Procedura are ca scop evidența contabilă (sintetică și analitică) și gestionarea obiectelor de inventar și a materialelor</w:t>
      </w:r>
      <w:r w:rsidR="00B8790C">
        <w:rPr>
          <w:rFonts w:ascii="Times New Roman" w:hAnsi="Times New Roman" w:cs="Times New Roman"/>
          <w:sz w:val="24"/>
          <w:szCs w:val="24"/>
        </w:rPr>
        <w:t xml:space="preserve"> </w:t>
      </w:r>
      <w:r w:rsidR="004248B1">
        <w:rPr>
          <w:rFonts w:ascii="Times New Roman" w:hAnsi="Times New Roman" w:cs="Times New Roman"/>
          <w:sz w:val="24"/>
          <w:szCs w:val="24"/>
        </w:rPr>
        <w:t>la nivelul Parcului Natural Porțile de Fier.</w:t>
      </w:r>
    </w:p>
    <w:p w:rsidR="00753693" w:rsidRDefault="008C0136" w:rsidP="007536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516BE8">
        <w:rPr>
          <w:rFonts w:ascii="Times New Roman" w:hAnsi="Times New Roman" w:cs="Times New Roman"/>
          <w:sz w:val="24"/>
          <w:szCs w:val="24"/>
        </w:rPr>
        <w:t>Ținerea la zi a</w:t>
      </w:r>
      <w:r w:rsidR="007D3B84">
        <w:rPr>
          <w:rFonts w:ascii="Times New Roman" w:hAnsi="Times New Roman" w:cs="Times New Roman"/>
          <w:sz w:val="24"/>
          <w:szCs w:val="24"/>
        </w:rPr>
        <w:t xml:space="preserve"> listelor de evidență a gestiunilor, obiectelor de inventar, a materialelor și a mișcărilor (intrări, ieșiri, transferuri) la nivelul</w:t>
      </w:r>
      <w:r w:rsidR="00F50403">
        <w:rPr>
          <w:rFonts w:ascii="Times New Roman" w:hAnsi="Times New Roman" w:cs="Times New Roman"/>
          <w:sz w:val="24"/>
          <w:szCs w:val="24"/>
        </w:rPr>
        <w:t xml:space="preserve"> Parcul</w:t>
      </w:r>
      <w:r w:rsidR="00B8790C">
        <w:rPr>
          <w:rFonts w:ascii="Times New Roman" w:hAnsi="Times New Roman" w:cs="Times New Roman"/>
          <w:sz w:val="24"/>
          <w:szCs w:val="24"/>
        </w:rPr>
        <w:t>ui</w:t>
      </w:r>
      <w:r w:rsidR="00F50403">
        <w:rPr>
          <w:rFonts w:ascii="Times New Roman" w:hAnsi="Times New Roman" w:cs="Times New Roman"/>
          <w:sz w:val="24"/>
          <w:szCs w:val="24"/>
        </w:rPr>
        <w:t xml:space="preserve"> Natural Porţile de Fier.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CF1C4D" w:rsidTr="00631A3E">
        <w:tc>
          <w:tcPr>
            <w:tcW w:w="2802" w:type="dxa"/>
          </w:tcPr>
          <w:p w:rsidR="00CF1C4D" w:rsidRPr="00631A3E" w:rsidRDefault="007D3B84" w:rsidP="00B879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Comisia de recepție</w:t>
            </w:r>
          </w:p>
        </w:tc>
        <w:tc>
          <w:tcPr>
            <w:tcW w:w="7619" w:type="dxa"/>
          </w:tcPr>
          <w:p w:rsidR="00CA5D6F" w:rsidRDefault="00CA5D6F" w:rsidP="00CA5D6F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RECEPȚIA BUNURILOR</w:t>
            </w:r>
          </w:p>
          <w:p w:rsidR="00095B39" w:rsidRDefault="00CF1C4D" w:rsidP="004248B1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A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248B1">
              <w:rPr>
                <w:rFonts w:ascii="Times New Roman" w:hAnsi="Times New Roman" w:cs="Times New Roman"/>
                <w:sz w:val="24"/>
                <w:szCs w:val="24"/>
              </w:rPr>
              <w:t xml:space="preserve">Efectuează </w:t>
            </w:r>
            <w:r w:rsidR="007D3B84">
              <w:rPr>
                <w:rFonts w:ascii="Times New Roman" w:hAnsi="Times New Roman" w:cs="Times New Roman"/>
                <w:sz w:val="24"/>
                <w:szCs w:val="24"/>
              </w:rPr>
              <w:t>recepția care se face la magazia institușiei</w:t>
            </w:r>
            <w:r w:rsidR="00A928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48B1" w:rsidRDefault="004248B1" w:rsidP="007D3B84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7D3B84">
              <w:rPr>
                <w:rFonts w:ascii="Times New Roman" w:hAnsi="Times New Roman" w:cs="Times New Roman"/>
                <w:sz w:val="24"/>
                <w:szCs w:val="24"/>
              </w:rPr>
              <w:t>Documentele în baza cărora se face recepția sunt: factura fiscală, factura proformă în cazul în care este însoțită de bunurilr ce trebuiesc achitate</w:t>
            </w:r>
            <w:r w:rsidR="00182DD6">
              <w:rPr>
                <w:rFonts w:ascii="Times New Roman" w:hAnsi="Times New Roman" w:cs="Times New Roman"/>
                <w:sz w:val="24"/>
                <w:szCs w:val="24"/>
              </w:rPr>
              <w:t>, procesul verbal de transfer pentru bunurile provenite de la altă instituție</w:t>
            </w:r>
            <w:r w:rsidR="001F08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2DD6" w:rsidRPr="000C312A" w:rsidRDefault="00182DD6" w:rsidP="007D3B84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Documentele de transport nu constituie acte de gestiune pentru expeditor și destinatar, pe baza lor neputându-se opera descărcarea sau încărcarea de gestiune.</w:t>
            </w:r>
          </w:p>
        </w:tc>
      </w:tr>
      <w:tr w:rsidR="00677FCB" w:rsidTr="00631A3E">
        <w:tc>
          <w:tcPr>
            <w:tcW w:w="2802" w:type="dxa"/>
          </w:tcPr>
          <w:p w:rsidR="00677FCB" w:rsidRDefault="00182DD6" w:rsidP="004248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Gestionarul</w:t>
            </w:r>
          </w:p>
        </w:tc>
        <w:tc>
          <w:tcPr>
            <w:tcW w:w="7619" w:type="dxa"/>
          </w:tcPr>
          <w:p w:rsidR="00677FCB" w:rsidRDefault="00182DD6" w:rsidP="00182DD6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182DD6">
              <w:rPr>
                <w:rFonts w:ascii="Times New Roman" w:hAnsi="Times New Roman" w:cs="Times New Roman"/>
                <w:sz w:val="24"/>
                <w:szCs w:val="24"/>
              </w:rPr>
              <w:t xml:space="preserve"> Participă la lucrările de recepție</w:t>
            </w:r>
            <w:r w:rsidR="00677F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2DD6" w:rsidRDefault="00182DD6" w:rsidP="00182DD6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Semnează pentru confirmarea de primire în gestiune documentele însoțitoare ale bunurilor și va semna notele de recepție</w:t>
            </w:r>
          </w:p>
          <w:p w:rsidR="00182DD6" w:rsidRDefault="00182DD6" w:rsidP="00182DD6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Documentele întocmite și semnate de către comisia de recepție </w:t>
            </w:r>
            <w:r w:rsidR="00CA5D6F">
              <w:rPr>
                <w:rFonts w:ascii="Times New Roman" w:hAnsi="Times New Roman" w:cs="Times New Roman"/>
                <w:sz w:val="24"/>
                <w:szCs w:val="24"/>
              </w:rPr>
              <w:t>este Notă de intrare, recepție și constatare diferențe.</w:t>
            </w:r>
          </w:p>
          <w:p w:rsidR="00CA5D6F" w:rsidRPr="00677FCB" w:rsidRDefault="00CA5D6F" w:rsidP="00CA5D6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CA5D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Notele de recepție și constatare de diferențe, împreună cu documentele după care s-a făcut recepția, vor fi transmise către compartimentul financiar – contabil prin intermediu borderoului de predare a documentelor.</w:t>
            </w:r>
          </w:p>
        </w:tc>
      </w:tr>
      <w:tr w:rsidR="00677FCB" w:rsidTr="00631A3E">
        <w:tc>
          <w:tcPr>
            <w:tcW w:w="2802" w:type="dxa"/>
          </w:tcPr>
          <w:p w:rsidR="00677FCB" w:rsidRDefault="00CA5D6F" w:rsidP="00516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Contabilul Șef</w:t>
            </w:r>
          </w:p>
        </w:tc>
        <w:tc>
          <w:tcPr>
            <w:tcW w:w="7619" w:type="dxa"/>
          </w:tcPr>
          <w:p w:rsidR="00677FCB" w:rsidRPr="00C550AF" w:rsidRDefault="00CA5D6F" w:rsidP="00CA5D6F">
            <w:pPr>
              <w:ind w:lef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677FCB" w:rsidRPr="00677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Operează în contabilitate documentele primite.</w:t>
            </w:r>
          </w:p>
        </w:tc>
      </w:tr>
      <w:tr w:rsidR="00CF1C4D" w:rsidTr="00631A3E">
        <w:tc>
          <w:tcPr>
            <w:tcW w:w="2802" w:type="dxa"/>
          </w:tcPr>
          <w:p w:rsidR="00CF1C4D" w:rsidRDefault="00CA5D6F" w:rsidP="00213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Gestionarul</w:t>
            </w:r>
          </w:p>
        </w:tc>
        <w:tc>
          <w:tcPr>
            <w:tcW w:w="7619" w:type="dxa"/>
          </w:tcPr>
          <w:p w:rsidR="00A70DEF" w:rsidRDefault="00CA5D6F" w:rsidP="004171D5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GESTIONAREA BUNURILOR</w:t>
            </w:r>
            <w:bookmarkStart w:id="0" w:name="_GoBack"/>
            <w:bookmarkEnd w:id="0"/>
          </w:p>
          <w:p w:rsidR="004C57B0" w:rsidRDefault="004171D5" w:rsidP="004171D5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D6500" w:rsidRPr="00C55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Operează în documentele justificative pentru intrările în gestiuni: bon de transfer, procesul verbal de predare – primire întocmit pe baza listelor de inventariere.</w:t>
            </w:r>
          </w:p>
          <w:p w:rsidR="004171D5" w:rsidRDefault="004171D5" w:rsidP="004171D5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Operează în documentele justificative pentru înregistrarea ieșirile din gestiunei: bon de consum, bon de transfer</w:t>
            </w:r>
            <w:r w:rsidR="00213739">
              <w:rPr>
                <w:rFonts w:ascii="Times New Roman" w:hAnsi="Times New Roman" w:cs="Times New Roman"/>
                <w:sz w:val="24"/>
                <w:szCs w:val="24"/>
              </w:rPr>
              <w:t>, fișa limită de consum, procesul verbal de predar – primire întocmit pe baza listelor de inventariere, actul de constatare privind bunurile depreciate (degradate, distruse sau sustrare).</w:t>
            </w:r>
          </w:p>
          <w:p w:rsidR="00213739" w:rsidRDefault="00213739" w:rsidP="004171D5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Documentele rezultate se vor transmite către compartimentul financiar – contabil prin intermediu borderoului de predare a documentelor.</w:t>
            </w:r>
          </w:p>
        </w:tc>
      </w:tr>
      <w:tr w:rsidR="009F1119" w:rsidTr="00631A3E">
        <w:tc>
          <w:tcPr>
            <w:tcW w:w="2802" w:type="dxa"/>
          </w:tcPr>
          <w:p w:rsidR="009F1119" w:rsidRDefault="009F1119" w:rsidP="00213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</w:t>
            </w:r>
          </w:p>
        </w:tc>
        <w:tc>
          <w:tcPr>
            <w:tcW w:w="7619" w:type="dxa"/>
          </w:tcPr>
          <w:p w:rsidR="009F1119" w:rsidRPr="009F1119" w:rsidRDefault="009F1119" w:rsidP="009F1119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Vizează documentele pentru înregistrare în contabilitate</w:t>
            </w:r>
          </w:p>
        </w:tc>
      </w:tr>
      <w:tr w:rsidR="00213739" w:rsidTr="00631A3E">
        <w:tc>
          <w:tcPr>
            <w:tcW w:w="2802" w:type="dxa"/>
          </w:tcPr>
          <w:p w:rsidR="00213739" w:rsidRDefault="00213739" w:rsidP="00213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Contabilul Șef</w:t>
            </w:r>
          </w:p>
        </w:tc>
        <w:tc>
          <w:tcPr>
            <w:tcW w:w="7619" w:type="dxa"/>
          </w:tcPr>
          <w:p w:rsidR="00213739" w:rsidRPr="00C550AF" w:rsidRDefault="00213739" w:rsidP="00213739">
            <w:pPr>
              <w:ind w:lef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77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Operează în contabilitate documentele primite.</w:t>
            </w:r>
          </w:p>
        </w:tc>
      </w:tr>
      <w:tr w:rsidR="00213739" w:rsidTr="00631A3E">
        <w:tc>
          <w:tcPr>
            <w:tcW w:w="2802" w:type="dxa"/>
          </w:tcPr>
          <w:p w:rsidR="00213739" w:rsidRDefault="009F1119" w:rsidP="001F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Gestionarul</w:t>
            </w:r>
          </w:p>
          <w:p w:rsidR="008B0DF6" w:rsidRDefault="008B0DF6" w:rsidP="001F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DF6" w:rsidRDefault="008B0DF6" w:rsidP="001F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DF6" w:rsidRDefault="008B0DF6" w:rsidP="001F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DF6" w:rsidRDefault="008B0DF6" w:rsidP="001F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DF6" w:rsidRDefault="008B0DF6" w:rsidP="001F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DF6" w:rsidRDefault="008B0DF6" w:rsidP="001F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DF6" w:rsidRDefault="008B0DF6" w:rsidP="001F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DF6" w:rsidRDefault="008B0DF6" w:rsidP="001F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DF6" w:rsidRDefault="008B0DF6" w:rsidP="001F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DF6" w:rsidRDefault="008B0DF6" w:rsidP="001F0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DF6" w:rsidRDefault="008B0DF6" w:rsidP="001F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Gestionarul</w:t>
            </w:r>
          </w:p>
        </w:tc>
        <w:tc>
          <w:tcPr>
            <w:tcW w:w="7619" w:type="dxa"/>
          </w:tcPr>
          <w:p w:rsidR="00A70DEF" w:rsidRDefault="009F1119" w:rsidP="009F1119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DAREA ÎN CONSUM</w:t>
            </w:r>
          </w:p>
          <w:p w:rsidR="009F1119" w:rsidRPr="009F1119" w:rsidRDefault="009F1119" w:rsidP="009F11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11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9F1119">
              <w:rPr>
                <w:rFonts w:ascii="Times New Roman" w:hAnsi="Times New Roman" w:cs="Times New Roman"/>
                <w:sz w:val="24"/>
                <w:szCs w:val="24"/>
              </w:rPr>
              <w:t>Documentul prin care se realizează darea în consum (ieșirea din magazie) este Bonul de consum</w:t>
            </w:r>
          </w:p>
          <w:p w:rsidR="009F1119" w:rsidRPr="009F1119" w:rsidRDefault="009F1119" w:rsidP="009F11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11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9F1119">
              <w:rPr>
                <w:rFonts w:ascii="Times New Roman" w:hAnsi="Times New Roman" w:cs="Times New Roman"/>
                <w:sz w:val="24"/>
                <w:szCs w:val="24"/>
              </w:rPr>
              <w:t>Bonurile de consum sunt întocmite în cadrul fiecărui compartiment (director / srviciu / birou), în trei exemplare (la gestionar, la contabilitate și la cotor).</w:t>
            </w:r>
          </w:p>
          <w:p w:rsidR="009F1119" w:rsidRDefault="009F1119" w:rsidP="009F11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11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Cantitățile solicitate se trec în bon la rubrica Cantitatea necesară.</w:t>
            </w:r>
          </w:p>
          <w:p w:rsidR="009F1119" w:rsidRDefault="009F1119" w:rsidP="009F11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11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Bonurile se semnează de către administrator,</w:t>
            </w:r>
            <w:r w:rsidR="008B0DF6">
              <w:rPr>
                <w:rFonts w:ascii="Times New Roman" w:hAnsi="Times New Roman" w:cs="Times New Roman"/>
                <w:sz w:val="24"/>
                <w:szCs w:val="24"/>
              </w:rPr>
              <w:t xml:space="preserve"> se semnează de gestionar după ce verifică în fișa de magazie și trece cantitatea eliberată și de către un delegat al compartimentului în calitate de primitor.</w:t>
            </w:r>
          </w:p>
          <w:p w:rsidR="008B0DF6" w:rsidRDefault="008B0DF6" w:rsidP="008B0D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0DF6" w:rsidRPr="008B0DF6" w:rsidRDefault="008B0DF6" w:rsidP="008B0D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D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Operează cantitățole eliberate după fiecare operațiune, în fișele de magazie.</w:t>
            </w:r>
          </w:p>
        </w:tc>
      </w:tr>
      <w:tr w:rsidR="00213739" w:rsidTr="00631A3E">
        <w:tc>
          <w:tcPr>
            <w:tcW w:w="2802" w:type="dxa"/>
          </w:tcPr>
          <w:p w:rsidR="00213739" w:rsidRDefault="008B0DF6" w:rsidP="00605B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Contabilul Șef</w:t>
            </w:r>
          </w:p>
        </w:tc>
        <w:tc>
          <w:tcPr>
            <w:tcW w:w="7619" w:type="dxa"/>
          </w:tcPr>
          <w:p w:rsidR="008B0DF6" w:rsidRPr="008B0DF6" w:rsidRDefault="008B0DF6" w:rsidP="008B0DF6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213739" w:rsidRPr="001F08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Verifică lunar modul de operare a fișelor de magazie.</w:t>
            </w:r>
          </w:p>
          <w:p w:rsidR="00213739" w:rsidRPr="001F08A6" w:rsidRDefault="00213739" w:rsidP="00105E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739" w:rsidTr="00631A3E">
        <w:tc>
          <w:tcPr>
            <w:tcW w:w="2802" w:type="dxa"/>
          </w:tcPr>
          <w:p w:rsidR="00213739" w:rsidRDefault="008B0DF6" w:rsidP="00A03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Gestionarul</w:t>
            </w:r>
          </w:p>
        </w:tc>
        <w:tc>
          <w:tcPr>
            <w:tcW w:w="7619" w:type="dxa"/>
          </w:tcPr>
          <w:p w:rsidR="008B0DF6" w:rsidRPr="008B0DF6" w:rsidRDefault="008B0DF6" w:rsidP="008B0DF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DAREA ÎN FOLOSINȚĂ A OBIECTELOR DE INVENTAR</w:t>
            </w:r>
          </w:p>
          <w:p w:rsidR="00213739" w:rsidRDefault="008B0DF6" w:rsidP="008B0D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Deschide pentru aceste obiecte de inventar</w:t>
            </w:r>
            <w:r w:rsidR="00A70DEF">
              <w:rPr>
                <w:rFonts w:ascii="Times New Roman" w:hAnsi="Times New Roman" w:cs="Times New Roman"/>
                <w:sz w:val="24"/>
                <w:szCs w:val="24"/>
              </w:rPr>
              <w:t xml:space="preserve"> Fișa de evidență a stocurilor și a obiectelor de inventar în folsință, deoarece acesta asigură evidențierea mișcărilor obiectelor de inventar și stocul acestora pe obiecte de folosință și facilitează efectuarea inventarierii.</w:t>
            </w:r>
          </w:p>
          <w:p w:rsidR="00A70DEF" w:rsidRDefault="00A70DEF" w:rsidP="00A70D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DE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DEF">
              <w:rPr>
                <w:rFonts w:ascii="Times New Roman" w:hAnsi="Times New Roman" w:cs="Times New Roman"/>
                <w:sz w:val="24"/>
                <w:szCs w:val="24"/>
              </w:rPr>
              <w:t>Documentele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utilizate pentru înregistrarea mișcărilor în fișă sunt: bonul de consum și bonul de transfer.</w:t>
            </w:r>
          </w:p>
          <w:p w:rsidR="00A70DEF" w:rsidRPr="00A70DEF" w:rsidRDefault="00A70DEF" w:rsidP="00A70D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DE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Documentele rezultate se vor transmite către compartimentul financiar – contabil prin intermediu borderoului de predare a documentelor.</w:t>
            </w:r>
          </w:p>
        </w:tc>
      </w:tr>
      <w:tr w:rsidR="00A70DEF" w:rsidTr="00631A3E">
        <w:tc>
          <w:tcPr>
            <w:tcW w:w="2802" w:type="dxa"/>
          </w:tcPr>
          <w:p w:rsidR="00A70DEF" w:rsidRDefault="00A70DEF" w:rsidP="00E36F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</w:t>
            </w:r>
          </w:p>
        </w:tc>
        <w:tc>
          <w:tcPr>
            <w:tcW w:w="7619" w:type="dxa"/>
          </w:tcPr>
          <w:p w:rsidR="00A70DEF" w:rsidRPr="009F1119" w:rsidRDefault="00A70DEF" w:rsidP="00E36F3E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Vizează documentele pentru înregistrare în contabilitate</w:t>
            </w:r>
          </w:p>
        </w:tc>
      </w:tr>
      <w:tr w:rsidR="00A70DEF" w:rsidTr="00631A3E">
        <w:tc>
          <w:tcPr>
            <w:tcW w:w="2802" w:type="dxa"/>
          </w:tcPr>
          <w:p w:rsidR="00A70DEF" w:rsidRDefault="00A70DEF" w:rsidP="00A03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Contabilul Șef</w:t>
            </w:r>
          </w:p>
        </w:tc>
        <w:tc>
          <w:tcPr>
            <w:tcW w:w="7619" w:type="dxa"/>
          </w:tcPr>
          <w:p w:rsidR="00A70DEF" w:rsidRPr="00516BE8" w:rsidRDefault="00A70DEF" w:rsidP="00A03D9A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Operează în contabilitate documentele primite.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8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DAA" w:rsidRDefault="00AE5DAA" w:rsidP="00744B4F">
      <w:pPr>
        <w:spacing w:after="0" w:line="240" w:lineRule="auto"/>
      </w:pPr>
      <w:r>
        <w:separator/>
      </w:r>
    </w:p>
  </w:endnote>
  <w:endnote w:type="continuationSeparator" w:id="0">
    <w:p w:rsidR="00AE5DAA" w:rsidRDefault="00AE5DAA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Content>
      <w:p w:rsidR="00213739" w:rsidRDefault="0021373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5EC">
          <w:rPr>
            <w:noProof/>
          </w:rPr>
          <w:t>2</w:t>
        </w:r>
        <w:r>
          <w:fldChar w:fldCharType="end"/>
        </w:r>
      </w:p>
    </w:sdtContent>
  </w:sdt>
  <w:p w:rsidR="00213739" w:rsidRDefault="002137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DAA" w:rsidRDefault="00AE5DAA" w:rsidP="00744B4F">
      <w:pPr>
        <w:spacing w:after="0" w:line="240" w:lineRule="auto"/>
      </w:pPr>
      <w:r>
        <w:separator/>
      </w:r>
    </w:p>
  </w:footnote>
  <w:footnote w:type="continuationSeparator" w:id="0">
    <w:p w:rsidR="00AE5DAA" w:rsidRDefault="00AE5DAA" w:rsidP="00744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E4E8F"/>
    <w:multiLevelType w:val="hybridMultilevel"/>
    <w:tmpl w:val="E856D39C"/>
    <w:lvl w:ilvl="0" w:tplc="04848CD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972" w:hanging="360"/>
      </w:pPr>
    </w:lvl>
    <w:lvl w:ilvl="2" w:tplc="0418001B" w:tentative="1">
      <w:start w:val="1"/>
      <w:numFmt w:val="lowerRoman"/>
      <w:lvlText w:val="%3."/>
      <w:lvlJc w:val="right"/>
      <w:pPr>
        <w:ind w:left="1692" w:hanging="180"/>
      </w:pPr>
    </w:lvl>
    <w:lvl w:ilvl="3" w:tplc="0418000F" w:tentative="1">
      <w:start w:val="1"/>
      <w:numFmt w:val="decimal"/>
      <w:lvlText w:val="%4."/>
      <w:lvlJc w:val="left"/>
      <w:pPr>
        <w:ind w:left="2412" w:hanging="360"/>
      </w:pPr>
    </w:lvl>
    <w:lvl w:ilvl="4" w:tplc="04180019" w:tentative="1">
      <w:start w:val="1"/>
      <w:numFmt w:val="lowerLetter"/>
      <w:lvlText w:val="%5."/>
      <w:lvlJc w:val="left"/>
      <w:pPr>
        <w:ind w:left="3132" w:hanging="360"/>
      </w:pPr>
    </w:lvl>
    <w:lvl w:ilvl="5" w:tplc="0418001B" w:tentative="1">
      <w:start w:val="1"/>
      <w:numFmt w:val="lowerRoman"/>
      <w:lvlText w:val="%6."/>
      <w:lvlJc w:val="right"/>
      <w:pPr>
        <w:ind w:left="3852" w:hanging="180"/>
      </w:pPr>
    </w:lvl>
    <w:lvl w:ilvl="6" w:tplc="0418000F" w:tentative="1">
      <w:start w:val="1"/>
      <w:numFmt w:val="decimal"/>
      <w:lvlText w:val="%7."/>
      <w:lvlJc w:val="left"/>
      <w:pPr>
        <w:ind w:left="4572" w:hanging="360"/>
      </w:pPr>
    </w:lvl>
    <w:lvl w:ilvl="7" w:tplc="04180019" w:tentative="1">
      <w:start w:val="1"/>
      <w:numFmt w:val="lowerLetter"/>
      <w:lvlText w:val="%8."/>
      <w:lvlJc w:val="left"/>
      <w:pPr>
        <w:ind w:left="5292" w:hanging="360"/>
      </w:pPr>
    </w:lvl>
    <w:lvl w:ilvl="8" w:tplc="0418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4FF776C9"/>
    <w:multiLevelType w:val="hybridMultilevel"/>
    <w:tmpl w:val="1FFA1346"/>
    <w:lvl w:ilvl="0" w:tplc="CDAE289A">
      <w:start w:val="1"/>
      <w:numFmt w:val="decimal"/>
      <w:lvlText w:val="%1."/>
      <w:lvlJc w:val="left"/>
      <w:pPr>
        <w:ind w:left="252" w:hanging="360"/>
      </w:pPr>
      <w:rPr>
        <w:rFonts w:ascii="Times New Roman" w:eastAsiaTheme="minorHAnsi" w:hAnsi="Times New Roman" w:cs="Times New Roman"/>
        <w:b/>
      </w:rPr>
    </w:lvl>
    <w:lvl w:ilvl="1" w:tplc="04180019" w:tentative="1">
      <w:start w:val="1"/>
      <w:numFmt w:val="lowerLetter"/>
      <w:lvlText w:val="%2."/>
      <w:lvlJc w:val="left"/>
      <w:pPr>
        <w:ind w:left="972" w:hanging="360"/>
      </w:pPr>
    </w:lvl>
    <w:lvl w:ilvl="2" w:tplc="0418001B" w:tentative="1">
      <w:start w:val="1"/>
      <w:numFmt w:val="lowerRoman"/>
      <w:lvlText w:val="%3."/>
      <w:lvlJc w:val="right"/>
      <w:pPr>
        <w:ind w:left="1692" w:hanging="180"/>
      </w:pPr>
    </w:lvl>
    <w:lvl w:ilvl="3" w:tplc="0418000F" w:tentative="1">
      <w:start w:val="1"/>
      <w:numFmt w:val="decimal"/>
      <w:lvlText w:val="%4."/>
      <w:lvlJc w:val="left"/>
      <w:pPr>
        <w:ind w:left="2412" w:hanging="360"/>
      </w:pPr>
    </w:lvl>
    <w:lvl w:ilvl="4" w:tplc="04180019" w:tentative="1">
      <w:start w:val="1"/>
      <w:numFmt w:val="lowerLetter"/>
      <w:lvlText w:val="%5."/>
      <w:lvlJc w:val="left"/>
      <w:pPr>
        <w:ind w:left="3132" w:hanging="360"/>
      </w:pPr>
    </w:lvl>
    <w:lvl w:ilvl="5" w:tplc="0418001B" w:tentative="1">
      <w:start w:val="1"/>
      <w:numFmt w:val="lowerRoman"/>
      <w:lvlText w:val="%6."/>
      <w:lvlJc w:val="right"/>
      <w:pPr>
        <w:ind w:left="3852" w:hanging="180"/>
      </w:pPr>
    </w:lvl>
    <w:lvl w:ilvl="6" w:tplc="0418000F" w:tentative="1">
      <w:start w:val="1"/>
      <w:numFmt w:val="decimal"/>
      <w:lvlText w:val="%7."/>
      <w:lvlJc w:val="left"/>
      <w:pPr>
        <w:ind w:left="4572" w:hanging="360"/>
      </w:pPr>
    </w:lvl>
    <w:lvl w:ilvl="7" w:tplc="04180019" w:tentative="1">
      <w:start w:val="1"/>
      <w:numFmt w:val="lowerLetter"/>
      <w:lvlText w:val="%8."/>
      <w:lvlJc w:val="left"/>
      <w:pPr>
        <w:ind w:left="5292" w:hanging="360"/>
      </w:pPr>
    </w:lvl>
    <w:lvl w:ilvl="8" w:tplc="0418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15473"/>
    <w:rsid w:val="00025997"/>
    <w:rsid w:val="00030433"/>
    <w:rsid w:val="000576C3"/>
    <w:rsid w:val="0006081E"/>
    <w:rsid w:val="00084ADA"/>
    <w:rsid w:val="00095B39"/>
    <w:rsid w:val="00096EEE"/>
    <w:rsid w:val="000B0D27"/>
    <w:rsid w:val="000B215C"/>
    <w:rsid w:val="000C5372"/>
    <w:rsid w:val="000E11EA"/>
    <w:rsid w:val="00105EAB"/>
    <w:rsid w:val="001418A1"/>
    <w:rsid w:val="00154A8F"/>
    <w:rsid w:val="00173347"/>
    <w:rsid w:val="00182DD6"/>
    <w:rsid w:val="001A59B9"/>
    <w:rsid w:val="001C58AA"/>
    <w:rsid w:val="001F08A6"/>
    <w:rsid w:val="0020110F"/>
    <w:rsid w:val="00211FD8"/>
    <w:rsid w:val="00213739"/>
    <w:rsid w:val="002139C4"/>
    <w:rsid w:val="00231E58"/>
    <w:rsid w:val="00240263"/>
    <w:rsid w:val="002479B1"/>
    <w:rsid w:val="00273705"/>
    <w:rsid w:val="002C162C"/>
    <w:rsid w:val="002C558B"/>
    <w:rsid w:val="002E117E"/>
    <w:rsid w:val="002E1A58"/>
    <w:rsid w:val="002E1EDB"/>
    <w:rsid w:val="002F0F0C"/>
    <w:rsid w:val="002F7FF2"/>
    <w:rsid w:val="00343098"/>
    <w:rsid w:val="0034785B"/>
    <w:rsid w:val="00381D18"/>
    <w:rsid w:val="003901CE"/>
    <w:rsid w:val="00393DCD"/>
    <w:rsid w:val="00394A3E"/>
    <w:rsid w:val="003B6BF7"/>
    <w:rsid w:val="003E5747"/>
    <w:rsid w:val="003E5FFD"/>
    <w:rsid w:val="004171D5"/>
    <w:rsid w:val="004248B1"/>
    <w:rsid w:val="00446DD8"/>
    <w:rsid w:val="00452AA2"/>
    <w:rsid w:val="00452B13"/>
    <w:rsid w:val="00475839"/>
    <w:rsid w:val="00492AC4"/>
    <w:rsid w:val="004B5DCD"/>
    <w:rsid w:val="004C35E4"/>
    <w:rsid w:val="004C57B0"/>
    <w:rsid w:val="004D00F5"/>
    <w:rsid w:val="004D4A46"/>
    <w:rsid w:val="004F6A49"/>
    <w:rsid w:val="005144EF"/>
    <w:rsid w:val="00516BE8"/>
    <w:rsid w:val="00520B90"/>
    <w:rsid w:val="005218C3"/>
    <w:rsid w:val="00543F8E"/>
    <w:rsid w:val="0057033C"/>
    <w:rsid w:val="00584905"/>
    <w:rsid w:val="005A494A"/>
    <w:rsid w:val="005E4110"/>
    <w:rsid w:val="005F3920"/>
    <w:rsid w:val="005F4AEA"/>
    <w:rsid w:val="00605B4F"/>
    <w:rsid w:val="00615930"/>
    <w:rsid w:val="00631A3E"/>
    <w:rsid w:val="00633A01"/>
    <w:rsid w:val="00655321"/>
    <w:rsid w:val="00677191"/>
    <w:rsid w:val="00677FCB"/>
    <w:rsid w:val="006811D1"/>
    <w:rsid w:val="006D0780"/>
    <w:rsid w:val="006D2C80"/>
    <w:rsid w:val="006F78EF"/>
    <w:rsid w:val="007154F4"/>
    <w:rsid w:val="00720276"/>
    <w:rsid w:val="00736028"/>
    <w:rsid w:val="00741098"/>
    <w:rsid w:val="00744B4F"/>
    <w:rsid w:val="00753693"/>
    <w:rsid w:val="007545EC"/>
    <w:rsid w:val="0076774C"/>
    <w:rsid w:val="00787B59"/>
    <w:rsid w:val="007A69E7"/>
    <w:rsid w:val="007B457B"/>
    <w:rsid w:val="007B7390"/>
    <w:rsid w:val="007D32EC"/>
    <w:rsid w:val="007D3B84"/>
    <w:rsid w:val="008138F5"/>
    <w:rsid w:val="008350E9"/>
    <w:rsid w:val="00851B3E"/>
    <w:rsid w:val="008670C7"/>
    <w:rsid w:val="00880B53"/>
    <w:rsid w:val="0088789D"/>
    <w:rsid w:val="008A112C"/>
    <w:rsid w:val="008B0DF6"/>
    <w:rsid w:val="008C0136"/>
    <w:rsid w:val="008C49A7"/>
    <w:rsid w:val="008E7424"/>
    <w:rsid w:val="008F26CB"/>
    <w:rsid w:val="009167E2"/>
    <w:rsid w:val="00934A14"/>
    <w:rsid w:val="00941DD9"/>
    <w:rsid w:val="009450DB"/>
    <w:rsid w:val="00947578"/>
    <w:rsid w:val="00971E93"/>
    <w:rsid w:val="0098081C"/>
    <w:rsid w:val="00987AA9"/>
    <w:rsid w:val="009A44E0"/>
    <w:rsid w:val="009A575C"/>
    <w:rsid w:val="009B5074"/>
    <w:rsid w:val="009D488A"/>
    <w:rsid w:val="009F1119"/>
    <w:rsid w:val="00A03D9A"/>
    <w:rsid w:val="00A06E1D"/>
    <w:rsid w:val="00A53250"/>
    <w:rsid w:val="00A55E71"/>
    <w:rsid w:val="00A62819"/>
    <w:rsid w:val="00A62FBD"/>
    <w:rsid w:val="00A70DEF"/>
    <w:rsid w:val="00A91E21"/>
    <w:rsid w:val="00A92856"/>
    <w:rsid w:val="00AA6071"/>
    <w:rsid w:val="00AB0821"/>
    <w:rsid w:val="00AB3B97"/>
    <w:rsid w:val="00AE082C"/>
    <w:rsid w:val="00AE1DB1"/>
    <w:rsid w:val="00AE5DAA"/>
    <w:rsid w:val="00B1487E"/>
    <w:rsid w:val="00B15B78"/>
    <w:rsid w:val="00B349D3"/>
    <w:rsid w:val="00B41B9C"/>
    <w:rsid w:val="00B41D1E"/>
    <w:rsid w:val="00B516D8"/>
    <w:rsid w:val="00B660C9"/>
    <w:rsid w:val="00B8790C"/>
    <w:rsid w:val="00B977B8"/>
    <w:rsid w:val="00BA3BE9"/>
    <w:rsid w:val="00BA6F71"/>
    <w:rsid w:val="00BB6E14"/>
    <w:rsid w:val="00BC0287"/>
    <w:rsid w:val="00BC6ECA"/>
    <w:rsid w:val="00C01699"/>
    <w:rsid w:val="00C1430A"/>
    <w:rsid w:val="00C2368E"/>
    <w:rsid w:val="00C2469D"/>
    <w:rsid w:val="00C51E93"/>
    <w:rsid w:val="00C63E8A"/>
    <w:rsid w:val="00C86B76"/>
    <w:rsid w:val="00C94200"/>
    <w:rsid w:val="00CA4467"/>
    <w:rsid w:val="00CA5D6F"/>
    <w:rsid w:val="00CE55B1"/>
    <w:rsid w:val="00CE5DFE"/>
    <w:rsid w:val="00CF1C4D"/>
    <w:rsid w:val="00CF29C0"/>
    <w:rsid w:val="00D24EB4"/>
    <w:rsid w:val="00D42402"/>
    <w:rsid w:val="00D61CAC"/>
    <w:rsid w:val="00D622A6"/>
    <w:rsid w:val="00D928E0"/>
    <w:rsid w:val="00DA050D"/>
    <w:rsid w:val="00DA47BC"/>
    <w:rsid w:val="00DB135B"/>
    <w:rsid w:val="00DD6110"/>
    <w:rsid w:val="00E0509A"/>
    <w:rsid w:val="00E1191C"/>
    <w:rsid w:val="00E417EB"/>
    <w:rsid w:val="00E434F9"/>
    <w:rsid w:val="00E50B71"/>
    <w:rsid w:val="00E5163A"/>
    <w:rsid w:val="00E70512"/>
    <w:rsid w:val="00E756E7"/>
    <w:rsid w:val="00E77141"/>
    <w:rsid w:val="00E94F34"/>
    <w:rsid w:val="00EA262B"/>
    <w:rsid w:val="00EA7FFE"/>
    <w:rsid w:val="00EB5610"/>
    <w:rsid w:val="00EE0002"/>
    <w:rsid w:val="00EF178C"/>
    <w:rsid w:val="00F07D7C"/>
    <w:rsid w:val="00F14A67"/>
    <w:rsid w:val="00F209A1"/>
    <w:rsid w:val="00F20A61"/>
    <w:rsid w:val="00F35C53"/>
    <w:rsid w:val="00F50403"/>
    <w:rsid w:val="00F50550"/>
    <w:rsid w:val="00F518DD"/>
    <w:rsid w:val="00F66B6B"/>
    <w:rsid w:val="00F71821"/>
    <w:rsid w:val="00F74044"/>
    <w:rsid w:val="00F8064C"/>
    <w:rsid w:val="00FA3CFC"/>
    <w:rsid w:val="00FB0AC7"/>
    <w:rsid w:val="00FC33F0"/>
    <w:rsid w:val="00FD235F"/>
    <w:rsid w:val="00FD6500"/>
    <w:rsid w:val="00FE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B4F"/>
  </w:style>
  <w:style w:type="paragraph" w:styleId="Footer">
    <w:name w:val="footer"/>
    <w:basedOn w:val="Normal"/>
    <w:link w:val="Foot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B4F"/>
  </w:style>
  <w:style w:type="table" w:customStyle="1" w:styleId="TableGrid1">
    <w:name w:val="Table Grid1"/>
    <w:basedOn w:val="TableNormal"/>
    <w:next w:val="TableGrid"/>
    <w:uiPriority w:val="59"/>
    <w:rsid w:val="00B1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EE0002"/>
  </w:style>
  <w:style w:type="paragraph" w:styleId="ListParagraph">
    <w:name w:val="List Paragraph"/>
    <w:basedOn w:val="Normal"/>
    <w:uiPriority w:val="34"/>
    <w:qFormat/>
    <w:rsid w:val="009F11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B4F"/>
  </w:style>
  <w:style w:type="paragraph" w:styleId="Footer">
    <w:name w:val="footer"/>
    <w:basedOn w:val="Normal"/>
    <w:link w:val="Foot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B4F"/>
  </w:style>
  <w:style w:type="table" w:customStyle="1" w:styleId="TableGrid1">
    <w:name w:val="Table Grid1"/>
    <w:basedOn w:val="TableNormal"/>
    <w:next w:val="TableGrid"/>
    <w:uiPriority w:val="59"/>
    <w:rsid w:val="00B1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EE0002"/>
  </w:style>
  <w:style w:type="paragraph" w:styleId="ListParagraph">
    <w:name w:val="List Paragraph"/>
    <w:basedOn w:val="Normal"/>
    <w:uiPriority w:val="34"/>
    <w:qFormat/>
    <w:rsid w:val="009F1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2</Pages>
  <Words>587</Words>
  <Characters>3405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SNORCKY</cp:lastModifiedBy>
  <cp:revision>3</cp:revision>
  <cp:lastPrinted>2014-02-27T06:40:00Z</cp:lastPrinted>
  <dcterms:created xsi:type="dcterms:W3CDTF">2015-02-14T16:03:00Z</dcterms:created>
  <dcterms:modified xsi:type="dcterms:W3CDTF">2015-02-15T08:54:00Z</dcterms:modified>
</cp:coreProperties>
</file>